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45"/>
        <w:tblW w:w="11413" w:type="dxa"/>
        <w:tblLayout w:type="fixed"/>
        <w:tblLook w:val="0000"/>
      </w:tblPr>
      <w:tblGrid>
        <w:gridCol w:w="3420"/>
        <w:gridCol w:w="4482"/>
        <w:gridCol w:w="3511"/>
      </w:tblGrid>
      <w:tr w:rsidR="00277970" w:rsidTr="00A26E18">
        <w:tc>
          <w:tcPr>
            <w:tcW w:w="3420" w:type="dxa"/>
          </w:tcPr>
          <w:p w:rsidR="00277970" w:rsidRDefault="00277970" w:rsidP="00A26E18">
            <w:pPr>
              <w:ind w:left="-1350" w:right="2160"/>
              <w:jc w:val="center"/>
            </w:pPr>
          </w:p>
          <w:p w:rsidR="00277970" w:rsidRDefault="00277970" w:rsidP="00A26E18">
            <w:pPr>
              <w:jc w:val="center"/>
            </w:pPr>
          </w:p>
          <w:p w:rsidR="00277970" w:rsidRDefault="00277970" w:rsidP="00A26E18">
            <w:pPr>
              <w:jc w:val="center"/>
            </w:pPr>
          </w:p>
          <w:p w:rsidR="00277970" w:rsidRDefault="00277970" w:rsidP="00A26E18">
            <w:pPr>
              <w:jc w:val="center"/>
            </w:pPr>
            <w:r>
              <w:rPr>
                <w:sz w:val="20"/>
              </w:rPr>
              <w:t>FINANCE DEPARTMENT</w:t>
            </w:r>
          </w:p>
          <w:p w:rsidR="00277970" w:rsidRDefault="00277970" w:rsidP="00A26E18">
            <w:pPr>
              <w:jc w:val="center"/>
              <w:rPr>
                <w:sz w:val="20"/>
              </w:rPr>
            </w:pPr>
            <w:r>
              <w:rPr>
                <w:sz w:val="20"/>
              </w:rPr>
              <w:t>Tel  (203) 563-0114</w:t>
            </w:r>
          </w:p>
          <w:p w:rsidR="00277970" w:rsidRDefault="00277970" w:rsidP="00A26E18">
            <w:pPr>
              <w:jc w:val="center"/>
            </w:pPr>
            <w:r>
              <w:rPr>
                <w:sz w:val="20"/>
              </w:rPr>
              <w:t>Fax (203) 563-0299</w:t>
            </w:r>
          </w:p>
        </w:tc>
        <w:tc>
          <w:tcPr>
            <w:tcW w:w="4482" w:type="dxa"/>
          </w:tcPr>
          <w:p w:rsidR="00277970" w:rsidRDefault="00277970" w:rsidP="00A26E18">
            <w:pPr>
              <w:jc w:val="center"/>
            </w:pPr>
            <w:r>
              <w:rPr>
                <w:noProof/>
              </w:rPr>
              <w:drawing>
                <wp:inline distT="0" distB="0" distL="0" distR="0">
                  <wp:extent cx="1704975" cy="1704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tc>
        <w:tc>
          <w:tcPr>
            <w:tcW w:w="3511" w:type="dxa"/>
          </w:tcPr>
          <w:p w:rsidR="00277970" w:rsidRDefault="00277970" w:rsidP="00A26E18"/>
          <w:p w:rsidR="00277970" w:rsidRDefault="00277970" w:rsidP="00A26E18">
            <w:pPr>
              <w:jc w:val="center"/>
            </w:pPr>
          </w:p>
          <w:p w:rsidR="00277970" w:rsidRDefault="00277970" w:rsidP="00A26E18">
            <w:pPr>
              <w:jc w:val="center"/>
              <w:rPr>
                <w:b/>
              </w:rPr>
            </w:pPr>
          </w:p>
          <w:p w:rsidR="00277970" w:rsidRDefault="00277970" w:rsidP="00A26E18">
            <w:pPr>
              <w:jc w:val="center"/>
            </w:pPr>
            <w:r>
              <w:rPr>
                <w:sz w:val="20"/>
              </w:rPr>
              <w:t>TOWN HALL</w:t>
            </w:r>
          </w:p>
          <w:p w:rsidR="00277970" w:rsidRDefault="00277970" w:rsidP="00A26E18">
            <w:pPr>
              <w:jc w:val="center"/>
              <w:rPr>
                <w:sz w:val="20"/>
              </w:rPr>
            </w:pPr>
            <w:r>
              <w:rPr>
                <w:sz w:val="20"/>
              </w:rPr>
              <w:t>238 Danbury Road</w:t>
            </w:r>
          </w:p>
          <w:p w:rsidR="00277970" w:rsidRDefault="00277970" w:rsidP="00A26E18">
            <w:pPr>
              <w:jc w:val="center"/>
            </w:pPr>
            <w:r>
              <w:rPr>
                <w:sz w:val="20"/>
              </w:rPr>
              <w:t>Wilton, Connecticut  06897</w:t>
            </w:r>
          </w:p>
        </w:tc>
      </w:tr>
    </w:tbl>
    <w:p w:rsidR="00277970" w:rsidRDefault="00277970" w:rsidP="00277970">
      <w:pPr>
        <w:jc w:val="center"/>
        <w:rPr>
          <w:rFonts w:ascii="Arial" w:hAnsi="Arial" w:cs="Arial"/>
        </w:rPr>
      </w:pPr>
      <w:r>
        <w:rPr>
          <w:rFonts w:ascii="Arial" w:hAnsi="Arial" w:cs="Arial"/>
        </w:rPr>
        <w:br/>
      </w:r>
      <w:r w:rsidRPr="00B852CA">
        <w:rPr>
          <w:rFonts w:ascii="Arial" w:hAnsi="Arial" w:cs="Arial"/>
          <w:b/>
        </w:rPr>
        <w:t>Minutes</w:t>
      </w:r>
      <w:r w:rsidRPr="00B852CA">
        <w:rPr>
          <w:rFonts w:ascii="Arial" w:hAnsi="Arial" w:cs="Arial"/>
          <w:b/>
        </w:rPr>
        <w:br/>
      </w:r>
      <w:r w:rsidRPr="00F0332A">
        <w:rPr>
          <w:rFonts w:ascii="Arial" w:hAnsi="Arial" w:cs="Arial"/>
        </w:rPr>
        <w:t>Wilton Retirement Trust</w:t>
      </w:r>
      <w:r w:rsidRPr="00F0332A">
        <w:rPr>
          <w:rFonts w:ascii="Arial" w:hAnsi="Arial" w:cs="Arial"/>
        </w:rPr>
        <w:br/>
        <w:t>Wilton Employees Retirement Plan Investment Committee</w:t>
      </w:r>
      <w:r w:rsidRPr="00F0332A">
        <w:rPr>
          <w:rFonts w:ascii="Arial" w:hAnsi="Arial" w:cs="Arial"/>
        </w:rPr>
        <w:br/>
        <w:t>Other Post-Employment Benefits Trustees</w:t>
      </w:r>
      <w:r w:rsidRPr="00F0332A">
        <w:rPr>
          <w:rFonts w:ascii="Arial" w:hAnsi="Arial" w:cs="Arial"/>
        </w:rPr>
        <w:br/>
      </w:r>
      <w:r w:rsidR="008B624B">
        <w:rPr>
          <w:rFonts w:ascii="Arial" w:hAnsi="Arial" w:cs="Arial"/>
        </w:rPr>
        <w:t>August 6</w:t>
      </w:r>
      <w:r>
        <w:rPr>
          <w:rFonts w:ascii="Arial" w:hAnsi="Arial" w:cs="Arial"/>
        </w:rPr>
        <w:t>, 2014</w:t>
      </w:r>
    </w:p>
    <w:p w:rsidR="00277970" w:rsidRPr="00F0332A" w:rsidRDefault="00277970" w:rsidP="00277970">
      <w:pPr>
        <w:jc w:val="center"/>
        <w:rPr>
          <w:rFonts w:ascii="Arial" w:hAnsi="Arial" w:cs="Arial"/>
        </w:rPr>
      </w:pPr>
      <w:r w:rsidRPr="00F0332A">
        <w:rPr>
          <w:rFonts w:ascii="Arial" w:hAnsi="Arial" w:cs="Arial"/>
        </w:rPr>
        <w:t>7:30 PM</w:t>
      </w:r>
      <w:r>
        <w:rPr>
          <w:rFonts w:ascii="Arial" w:hAnsi="Arial" w:cs="Arial"/>
        </w:rPr>
        <w:br/>
      </w:r>
      <w:r w:rsidRPr="00F0332A">
        <w:rPr>
          <w:rFonts w:ascii="Arial" w:hAnsi="Arial" w:cs="Arial"/>
        </w:rPr>
        <w:t>Meeting Room “B”</w:t>
      </w:r>
      <w:r>
        <w:rPr>
          <w:rFonts w:ascii="Arial" w:hAnsi="Arial" w:cs="Arial"/>
        </w:rPr>
        <w:t xml:space="preserve">  </w:t>
      </w:r>
      <w:r w:rsidR="00190A17">
        <w:rPr>
          <w:rFonts w:ascii="Arial" w:hAnsi="Arial" w:cs="Arial"/>
        </w:rPr>
        <w:br/>
      </w:r>
    </w:p>
    <w:p w:rsidR="00277970" w:rsidRPr="002E253A" w:rsidRDefault="00277970" w:rsidP="00277970">
      <w:pPr>
        <w:rPr>
          <w:rFonts w:ascii="Arial" w:hAnsi="Arial" w:cs="Arial"/>
          <w:b/>
          <w:u w:val="single"/>
        </w:rPr>
      </w:pPr>
      <w:r w:rsidRPr="002E253A">
        <w:rPr>
          <w:rFonts w:ascii="Arial" w:hAnsi="Arial" w:cs="Arial"/>
          <w:b/>
          <w:u w:val="single"/>
        </w:rPr>
        <w:t>Present:</w:t>
      </w:r>
    </w:p>
    <w:p w:rsidR="00375756" w:rsidRPr="00FF44EE" w:rsidRDefault="00277970" w:rsidP="00277970">
      <w:pPr>
        <w:rPr>
          <w:rFonts w:ascii="Arial" w:hAnsi="Arial" w:cs="Arial"/>
        </w:rPr>
      </w:pPr>
      <w:r w:rsidRPr="002E253A">
        <w:rPr>
          <w:rFonts w:ascii="Arial" w:hAnsi="Arial" w:cs="Arial"/>
          <w:b/>
        </w:rPr>
        <w:t>Investment Committee:</w:t>
      </w:r>
      <w:r w:rsidRPr="002E253A">
        <w:rPr>
          <w:rFonts w:ascii="Arial" w:hAnsi="Arial" w:cs="Arial"/>
        </w:rPr>
        <w:t xml:space="preserve">  </w:t>
      </w:r>
      <w:r w:rsidR="002D0346" w:rsidRPr="002E253A">
        <w:rPr>
          <w:rFonts w:ascii="Arial" w:hAnsi="Arial" w:cs="Arial"/>
        </w:rPr>
        <w:t>Robert H. Kelso (Chair)</w:t>
      </w:r>
      <w:r w:rsidR="002D0346">
        <w:rPr>
          <w:rFonts w:ascii="Arial" w:hAnsi="Arial" w:cs="Arial"/>
        </w:rPr>
        <w:t xml:space="preserve"> </w:t>
      </w:r>
      <w:r w:rsidRPr="002E253A">
        <w:rPr>
          <w:rFonts w:ascii="Arial" w:hAnsi="Arial" w:cs="Arial"/>
        </w:rPr>
        <w:t xml:space="preserve">Jeffrey G. </w:t>
      </w:r>
      <w:proofErr w:type="spellStart"/>
      <w:r w:rsidRPr="002E253A">
        <w:rPr>
          <w:rFonts w:ascii="Arial" w:hAnsi="Arial" w:cs="Arial"/>
        </w:rPr>
        <w:t>Rutishauser</w:t>
      </w:r>
      <w:proofErr w:type="spellEnd"/>
      <w:r w:rsidRPr="002E253A">
        <w:rPr>
          <w:rFonts w:ascii="Arial" w:hAnsi="Arial" w:cs="Arial"/>
        </w:rPr>
        <w:t>, Paul Burnham</w:t>
      </w:r>
      <w:r>
        <w:rPr>
          <w:rFonts w:ascii="Arial" w:hAnsi="Arial" w:cs="Arial"/>
        </w:rPr>
        <w:t>,</w:t>
      </w:r>
      <w:r w:rsidRPr="002E253A">
        <w:rPr>
          <w:rFonts w:ascii="Arial" w:hAnsi="Arial" w:cs="Arial"/>
        </w:rPr>
        <w:t xml:space="preserve"> Richard E. </w:t>
      </w:r>
      <w:proofErr w:type="spellStart"/>
      <w:r w:rsidRPr="002E253A">
        <w:rPr>
          <w:rFonts w:ascii="Arial" w:hAnsi="Arial" w:cs="Arial"/>
        </w:rPr>
        <w:t>Wehrmann</w:t>
      </w:r>
      <w:proofErr w:type="spellEnd"/>
      <w:r>
        <w:rPr>
          <w:rFonts w:ascii="Arial" w:hAnsi="Arial" w:cs="Arial"/>
        </w:rPr>
        <w:t>,</w:t>
      </w:r>
      <w:r w:rsidRPr="002E253A">
        <w:rPr>
          <w:rFonts w:ascii="Arial" w:hAnsi="Arial" w:cs="Arial"/>
        </w:rPr>
        <w:t xml:space="preserve"> </w:t>
      </w:r>
      <w:r w:rsidR="002D0346" w:rsidRPr="00691D78">
        <w:rPr>
          <w:rFonts w:ascii="Arial" w:hAnsi="Arial" w:cs="Arial"/>
          <w:b/>
        </w:rPr>
        <w:t>Absent:</w:t>
      </w:r>
      <w:r w:rsidR="002D0346">
        <w:rPr>
          <w:rFonts w:ascii="Arial" w:hAnsi="Arial" w:cs="Arial"/>
        </w:rPr>
        <w:t xml:space="preserve"> </w:t>
      </w:r>
      <w:r w:rsidRPr="002E253A">
        <w:rPr>
          <w:rFonts w:ascii="Arial" w:hAnsi="Arial" w:cs="Arial"/>
        </w:rPr>
        <w:t xml:space="preserve">Robert </w:t>
      </w:r>
      <w:proofErr w:type="gramStart"/>
      <w:r w:rsidRPr="002E253A">
        <w:rPr>
          <w:rFonts w:ascii="Arial" w:hAnsi="Arial" w:cs="Arial"/>
        </w:rPr>
        <w:t>Schultz</w:t>
      </w:r>
      <w:r w:rsidR="00691D78">
        <w:rPr>
          <w:rFonts w:ascii="Arial" w:hAnsi="Arial" w:cs="Arial"/>
        </w:rPr>
        <w:t xml:space="preserve">  </w:t>
      </w:r>
      <w:r w:rsidRPr="002E253A">
        <w:rPr>
          <w:rFonts w:ascii="Arial" w:hAnsi="Arial" w:cs="Arial"/>
          <w:b/>
        </w:rPr>
        <w:t>Retirement</w:t>
      </w:r>
      <w:proofErr w:type="gramEnd"/>
      <w:r w:rsidRPr="002E253A">
        <w:rPr>
          <w:rFonts w:ascii="Arial" w:hAnsi="Arial" w:cs="Arial"/>
          <w:b/>
        </w:rPr>
        <w:t xml:space="preserve"> Trust:</w:t>
      </w:r>
      <w:r w:rsidRPr="002E253A">
        <w:rPr>
          <w:rFonts w:ascii="Arial" w:hAnsi="Arial" w:cs="Arial"/>
        </w:rPr>
        <w:t xml:space="preserve">  </w:t>
      </w:r>
      <w:r w:rsidR="004C6E33" w:rsidRPr="002E253A">
        <w:rPr>
          <w:rFonts w:ascii="Arial" w:hAnsi="Arial" w:cs="Arial"/>
        </w:rPr>
        <w:t>William Brennan</w:t>
      </w:r>
      <w:r w:rsidR="004C6E33">
        <w:rPr>
          <w:rFonts w:ascii="Arial" w:hAnsi="Arial" w:cs="Arial"/>
        </w:rPr>
        <w:t>,</w:t>
      </w:r>
      <w:r w:rsidR="004C6E33" w:rsidRPr="002E253A">
        <w:rPr>
          <w:rFonts w:ascii="Arial" w:hAnsi="Arial" w:cs="Arial"/>
        </w:rPr>
        <w:t xml:space="preserve"> </w:t>
      </w:r>
      <w:r w:rsidRPr="002E253A">
        <w:rPr>
          <w:rFonts w:ascii="Arial" w:hAnsi="Arial" w:cs="Arial"/>
        </w:rPr>
        <w:t xml:space="preserve">Harold E. Clark, Sandra L. Dennies, </w:t>
      </w:r>
      <w:r w:rsidR="00646597">
        <w:rPr>
          <w:rFonts w:ascii="Arial" w:hAnsi="Arial" w:cs="Arial"/>
        </w:rPr>
        <w:t xml:space="preserve">John </w:t>
      </w:r>
      <w:proofErr w:type="spellStart"/>
      <w:r w:rsidR="00646597">
        <w:rPr>
          <w:rFonts w:ascii="Arial" w:hAnsi="Arial" w:cs="Arial"/>
        </w:rPr>
        <w:t>Kalamarides</w:t>
      </w:r>
      <w:proofErr w:type="spellEnd"/>
      <w:r w:rsidR="00646597">
        <w:rPr>
          <w:rFonts w:ascii="Arial" w:hAnsi="Arial" w:cs="Arial"/>
        </w:rPr>
        <w:t xml:space="preserve"> </w:t>
      </w:r>
      <w:r w:rsidRPr="00691D78">
        <w:rPr>
          <w:rFonts w:ascii="Arial" w:hAnsi="Arial" w:cs="Arial"/>
          <w:b/>
        </w:rPr>
        <w:t>A</w:t>
      </w:r>
      <w:r w:rsidR="0021655F">
        <w:rPr>
          <w:rFonts w:ascii="Arial" w:hAnsi="Arial" w:cs="Arial"/>
          <w:b/>
        </w:rPr>
        <w:t>bsent:</w:t>
      </w:r>
      <w:r w:rsidRPr="00691D78">
        <w:rPr>
          <w:rFonts w:ascii="Arial" w:hAnsi="Arial" w:cs="Arial"/>
          <w:b/>
        </w:rPr>
        <w:t xml:space="preserve"> </w:t>
      </w:r>
      <w:r w:rsidR="00646597" w:rsidRPr="002E253A">
        <w:rPr>
          <w:rFonts w:ascii="Arial" w:hAnsi="Arial" w:cs="Arial"/>
        </w:rPr>
        <w:t xml:space="preserve">Richard J. Dubow, Ted </w:t>
      </w:r>
      <w:proofErr w:type="spellStart"/>
      <w:r w:rsidR="00646597" w:rsidRPr="002E253A">
        <w:rPr>
          <w:rFonts w:ascii="Arial" w:hAnsi="Arial" w:cs="Arial"/>
        </w:rPr>
        <w:t>Hoffstatter</w:t>
      </w:r>
      <w:proofErr w:type="spellEnd"/>
      <w:r w:rsidR="00646597" w:rsidRPr="002E253A">
        <w:rPr>
          <w:rFonts w:ascii="Arial" w:hAnsi="Arial" w:cs="Arial"/>
        </w:rPr>
        <w:t>. James Saxe, Jr.</w:t>
      </w:r>
      <w:r w:rsidR="00646597">
        <w:rPr>
          <w:rFonts w:ascii="Arial" w:hAnsi="Arial" w:cs="Arial"/>
        </w:rPr>
        <w:t xml:space="preserve"> </w:t>
      </w:r>
      <w:r w:rsidR="00A72A89" w:rsidRPr="00A72A89">
        <w:rPr>
          <w:rFonts w:ascii="Arial" w:hAnsi="Arial" w:cs="Arial"/>
          <w:b/>
        </w:rPr>
        <w:t xml:space="preserve">OPEB: </w:t>
      </w:r>
      <w:r w:rsidR="00915560" w:rsidRPr="00915560">
        <w:rPr>
          <w:rFonts w:ascii="Arial" w:hAnsi="Arial" w:cs="Arial"/>
        </w:rPr>
        <w:t>Warren Serenbetz,</w:t>
      </w:r>
      <w:r w:rsidR="00915560">
        <w:rPr>
          <w:rFonts w:ascii="Arial" w:hAnsi="Arial" w:cs="Arial"/>
          <w:b/>
        </w:rPr>
        <w:t xml:space="preserve"> </w:t>
      </w:r>
      <w:r w:rsidR="00646597">
        <w:rPr>
          <w:rFonts w:ascii="Arial" w:hAnsi="Arial" w:cs="Arial"/>
        </w:rPr>
        <w:t xml:space="preserve">Christopher Stroup, </w:t>
      </w:r>
      <w:r w:rsidR="007A7415" w:rsidRPr="007A7415">
        <w:rPr>
          <w:rFonts w:ascii="Arial" w:hAnsi="Arial" w:cs="Arial"/>
        </w:rPr>
        <w:t>Hal Clark,</w:t>
      </w:r>
      <w:r w:rsidR="007A7415">
        <w:rPr>
          <w:rFonts w:ascii="Arial" w:hAnsi="Arial" w:cs="Arial"/>
          <w:b/>
        </w:rPr>
        <w:t xml:space="preserve"> </w:t>
      </w:r>
      <w:r w:rsidR="00646597" w:rsidRPr="007A7415">
        <w:rPr>
          <w:rFonts w:ascii="Arial" w:hAnsi="Arial" w:cs="Arial"/>
        </w:rPr>
        <w:t>Ken</w:t>
      </w:r>
      <w:r w:rsidR="00646597">
        <w:rPr>
          <w:rFonts w:ascii="Arial" w:hAnsi="Arial" w:cs="Arial"/>
        </w:rPr>
        <w:t xml:space="preserve"> </w:t>
      </w:r>
      <w:r w:rsidR="00646597" w:rsidRPr="007A7415">
        <w:rPr>
          <w:rFonts w:ascii="Arial" w:hAnsi="Arial" w:cs="Arial"/>
        </w:rPr>
        <w:t>Post</w:t>
      </w:r>
      <w:r w:rsidR="00646597">
        <w:rPr>
          <w:rFonts w:ascii="Arial" w:hAnsi="Arial" w:cs="Arial"/>
        </w:rPr>
        <w:t xml:space="preserve">, </w:t>
      </w:r>
      <w:r w:rsidR="00915560" w:rsidRPr="00915560">
        <w:rPr>
          <w:rFonts w:ascii="Arial" w:hAnsi="Arial" w:cs="Arial"/>
        </w:rPr>
        <w:t>Sandy Dennies</w:t>
      </w:r>
      <w:r w:rsidR="007A7415">
        <w:rPr>
          <w:rFonts w:ascii="Arial" w:hAnsi="Arial" w:cs="Arial"/>
        </w:rPr>
        <w:t xml:space="preserve"> </w:t>
      </w:r>
      <w:r w:rsidR="00FF44EE">
        <w:rPr>
          <w:rFonts w:ascii="Arial" w:hAnsi="Arial" w:cs="Arial"/>
        </w:rPr>
        <w:br/>
      </w:r>
      <w:r w:rsidR="00FF44EE" w:rsidRPr="00FF44EE">
        <w:rPr>
          <w:rFonts w:ascii="Arial" w:hAnsi="Arial" w:cs="Arial"/>
          <w:b/>
        </w:rPr>
        <w:t>O</w:t>
      </w:r>
      <w:r w:rsidR="00FF44EE">
        <w:rPr>
          <w:rFonts w:ascii="Arial" w:hAnsi="Arial" w:cs="Arial"/>
          <w:b/>
        </w:rPr>
        <w:t>thers</w:t>
      </w:r>
      <w:r w:rsidR="00FF44EE" w:rsidRPr="00FF44EE">
        <w:rPr>
          <w:rFonts w:ascii="Arial" w:hAnsi="Arial" w:cs="Arial"/>
          <w:b/>
        </w:rPr>
        <w:t>:</w:t>
      </w:r>
      <w:r w:rsidR="00FF44EE">
        <w:rPr>
          <w:rFonts w:ascii="Arial" w:hAnsi="Arial" w:cs="Arial"/>
          <w:b/>
        </w:rPr>
        <w:t xml:space="preserve"> </w:t>
      </w:r>
      <w:r w:rsidR="00646597" w:rsidRPr="00646597">
        <w:rPr>
          <w:rFonts w:ascii="Arial" w:hAnsi="Arial" w:cs="Arial"/>
        </w:rPr>
        <w:t xml:space="preserve">Christopher </w:t>
      </w:r>
      <w:proofErr w:type="spellStart"/>
      <w:r w:rsidR="00646597" w:rsidRPr="00646597">
        <w:rPr>
          <w:rFonts w:ascii="Arial" w:hAnsi="Arial" w:cs="Arial"/>
        </w:rPr>
        <w:t>Rowlins</w:t>
      </w:r>
      <w:proofErr w:type="spellEnd"/>
      <w:r w:rsidR="008E42B0">
        <w:rPr>
          <w:rFonts w:ascii="Arial" w:hAnsi="Arial" w:cs="Arial"/>
        </w:rPr>
        <w:t>; FIA,</w:t>
      </w:r>
      <w:r w:rsidR="00646597" w:rsidRPr="00646597">
        <w:rPr>
          <w:rFonts w:ascii="Arial" w:hAnsi="Arial" w:cs="Arial"/>
        </w:rPr>
        <w:t xml:space="preserve"> Kevin O’Brien</w:t>
      </w:r>
      <w:r w:rsidR="008E42B0">
        <w:rPr>
          <w:rFonts w:ascii="Arial" w:hAnsi="Arial" w:cs="Arial"/>
        </w:rPr>
        <w:t>; FIA</w:t>
      </w:r>
      <w:r w:rsidR="00646597" w:rsidRPr="00646597">
        <w:rPr>
          <w:rFonts w:ascii="Arial" w:hAnsi="Arial" w:cs="Arial"/>
        </w:rPr>
        <w:t>,</w:t>
      </w:r>
      <w:r w:rsidR="00646597">
        <w:rPr>
          <w:rFonts w:ascii="Arial" w:hAnsi="Arial" w:cs="Arial"/>
          <w:b/>
        </w:rPr>
        <w:t xml:space="preserve"> </w:t>
      </w:r>
      <w:r w:rsidR="00FF44EE" w:rsidRPr="00FF44EE">
        <w:rPr>
          <w:rFonts w:ascii="Arial" w:hAnsi="Arial" w:cs="Arial"/>
        </w:rPr>
        <w:t>Rich McArdle, Sarah Taffel</w:t>
      </w:r>
    </w:p>
    <w:p w:rsidR="00277970" w:rsidRPr="00277970" w:rsidRDefault="00277970" w:rsidP="00277970">
      <w:pPr>
        <w:rPr>
          <w:rFonts w:ascii="Arial" w:hAnsi="Arial" w:cs="Arial"/>
          <w:b/>
          <w:u w:val="single"/>
        </w:rPr>
      </w:pPr>
      <w:r w:rsidRPr="00277970">
        <w:rPr>
          <w:rFonts w:ascii="Arial" w:hAnsi="Arial" w:cs="Arial"/>
          <w:b/>
          <w:u w:val="single"/>
        </w:rPr>
        <w:t>Call to Order</w:t>
      </w:r>
    </w:p>
    <w:p w:rsidR="004C6E33" w:rsidRPr="00277970" w:rsidRDefault="00277970" w:rsidP="00277970">
      <w:pPr>
        <w:rPr>
          <w:rFonts w:ascii="Arial" w:hAnsi="Arial" w:cs="Arial"/>
        </w:rPr>
      </w:pPr>
      <w:r w:rsidRPr="00277970">
        <w:rPr>
          <w:rFonts w:ascii="Arial" w:hAnsi="Arial" w:cs="Arial"/>
        </w:rPr>
        <w:t xml:space="preserve">Mr. Brennan called the Meeting to order at 7:30 PM. </w:t>
      </w:r>
    </w:p>
    <w:p w:rsidR="00AD6E51" w:rsidRDefault="00AD6E51" w:rsidP="00CE5AF9">
      <w:pPr>
        <w:tabs>
          <w:tab w:val="left" w:pos="8830"/>
        </w:tabs>
        <w:rPr>
          <w:rFonts w:ascii="Arial" w:hAnsi="Arial" w:cs="Arial"/>
          <w:b/>
          <w:u w:val="single"/>
        </w:rPr>
      </w:pPr>
      <w:r>
        <w:rPr>
          <w:rFonts w:ascii="Arial" w:hAnsi="Arial" w:cs="Arial"/>
          <w:b/>
          <w:u w:val="single"/>
        </w:rPr>
        <w:t xml:space="preserve">Ron </w:t>
      </w:r>
      <w:proofErr w:type="spellStart"/>
      <w:r>
        <w:rPr>
          <w:rFonts w:ascii="Arial" w:hAnsi="Arial" w:cs="Arial"/>
          <w:b/>
          <w:u w:val="single"/>
        </w:rPr>
        <w:t>Schlee</w:t>
      </w:r>
      <w:proofErr w:type="spellEnd"/>
      <w:r>
        <w:rPr>
          <w:rFonts w:ascii="Arial" w:hAnsi="Arial" w:cs="Arial"/>
          <w:b/>
          <w:u w:val="single"/>
        </w:rPr>
        <w:t xml:space="preserve"> of Hooker and Holcombe</w:t>
      </w:r>
    </w:p>
    <w:p w:rsidR="00AD6E51" w:rsidRDefault="00AD6E51" w:rsidP="00AD6E51">
      <w:pPr>
        <w:rPr>
          <w:rFonts w:ascii="Arial" w:hAnsi="Arial" w:cs="Arial"/>
        </w:rPr>
      </w:pPr>
      <w:r>
        <w:rPr>
          <w:rFonts w:ascii="Arial" w:hAnsi="Arial" w:cs="Arial"/>
        </w:rPr>
        <w:t xml:space="preserve">The valuation was done as of July 2014. The mortality </w:t>
      </w:r>
      <w:r w:rsidR="00F82FFF">
        <w:rPr>
          <w:rFonts w:ascii="Arial" w:hAnsi="Arial" w:cs="Arial"/>
        </w:rPr>
        <w:t>tables</w:t>
      </w:r>
      <w:r>
        <w:rPr>
          <w:rFonts w:ascii="Arial" w:hAnsi="Arial" w:cs="Arial"/>
        </w:rPr>
        <w:t xml:space="preserve"> are changing; there are longer life expectancies which will mean contributions need to increase. The tables will be available the end of October and they will have to look at this next spring. </w:t>
      </w:r>
      <w:r w:rsidR="005A3681">
        <w:rPr>
          <w:rFonts w:ascii="Arial" w:hAnsi="Arial" w:cs="Arial"/>
        </w:rPr>
        <w:t xml:space="preserve">The investment rate of return for Wilton is 7.25% and that rate has been used for the past few years. The State of CT is using 7.49% and Massachusetts is using 7.97%. Mr. </w:t>
      </w:r>
      <w:proofErr w:type="spellStart"/>
      <w:r w:rsidR="005A3681">
        <w:rPr>
          <w:rFonts w:ascii="Arial" w:hAnsi="Arial" w:cs="Arial"/>
        </w:rPr>
        <w:t>Schlee</w:t>
      </w:r>
      <w:proofErr w:type="spellEnd"/>
      <w:r w:rsidR="005A3681">
        <w:rPr>
          <w:rFonts w:ascii="Arial" w:hAnsi="Arial" w:cs="Arial"/>
        </w:rPr>
        <w:t xml:space="preserve"> feels comfortable with 7.25%. </w:t>
      </w:r>
    </w:p>
    <w:p w:rsidR="005A3681" w:rsidRPr="00277970" w:rsidRDefault="005A3681" w:rsidP="00AD6E51">
      <w:pPr>
        <w:rPr>
          <w:rFonts w:ascii="Arial" w:hAnsi="Arial" w:cs="Arial"/>
        </w:rPr>
      </w:pPr>
      <w:r>
        <w:rPr>
          <w:rFonts w:ascii="Arial" w:hAnsi="Arial" w:cs="Arial"/>
        </w:rPr>
        <w:t xml:space="preserve">Salary scales for Wilton are 4% per year after 7 years of service for PD and Fire. For Town employees it’s 3.5% per year after 8 years of service. </w:t>
      </w:r>
      <w:r w:rsidR="003954B3">
        <w:rPr>
          <w:rFonts w:ascii="Arial" w:hAnsi="Arial" w:cs="Arial"/>
        </w:rPr>
        <w:t xml:space="preserve">The cost of living adjustment they assumed is 2.5%. They aren’t making any changes for this year’s valuation. </w:t>
      </w:r>
    </w:p>
    <w:p w:rsidR="00707DBB" w:rsidRDefault="00AC4D02" w:rsidP="00CE5AF9">
      <w:pPr>
        <w:tabs>
          <w:tab w:val="left" w:pos="8830"/>
        </w:tabs>
        <w:rPr>
          <w:rFonts w:ascii="Arial" w:hAnsi="Arial" w:cs="Arial"/>
        </w:rPr>
      </w:pPr>
      <w:r w:rsidRPr="00AC4D02">
        <w:rPr>
          <w:rFonts w:ascii="Arial" w:hAnsi="Arial" w:cs="Arial"/>
        </w:rPr>
        <w:t xml:space="preserve">Mr. </w:t>
      </w:r>
      <w:proofErr w:type="spellStart"/>
      <w:r w:rsidRPr="00AC4D02">
        <w:rPr>
          <w:rFonts w:ascii="Arial" w:hAnsi="Arial" w:cs="Arial"/>
        </w:rPr>
        <w:t>Schlee</w:t>
      </w:r>
      <w:proofErr w:type="spellEnd"/>
      <w:r w:rsidRPr="00AC4D02">
        <w:rPr>
          <w:rFonts w:ascii="Arial" w:hAnsi="Arial" w:cs="Arial"/>
        </w:rPr>
        <w:t xml:space="preserve"> then reviewed </w:t>
      </w:r>
      <w:r>
        <w:rPr>
          <w:rFonts w:ascii="Arial" w:hAnsi="Arial" w:cs="Arial"/>
        </w:rPr>
        <w:t>the latest requirements from GASBE</w:t>
      </w:r>
      <w:r w:rsidR="00726A33">
        <w:rPr>
          <w:rFonts w:ascii="Arial" w:hAnsi="Arial" w:cs="Arial"/>
        </w:rPr>
        <w:t xml:space="preserve"> 67</w:t>
      </w:r>
      <w:r w:rsidR="00106808">
        <w:rPr>
          <w:rFonts w:ascii="Arial" w:hAnsi="Arial" w:cs="Arial"/>
        </w:rPr>
        <w:t xml:space="preserve"> with those present</w:t>
      </w:r>
      <w:r>
        <w:rPr>
          <w:rFonts w:ascii="Arial" w:hAnsi="Arial" w:cs="Arial"/>
        </w:rPr>
        <w:t>.</w:t>
      </w:r>
    </w:p>
    <w:p w:rsidR="00707DBB" w:rsidRDefault="00707DBB" w:rsidP="00CE5AF9">
      <w:pPr>
        <w:tabs>
          <w:tab w:val="left" w:pos="8830"/>
        </w:tabs>
        <w:rPr>
          <w:rFonts w:ascii="Arial" w:hAnsi="Arial" w:cs="Arial"/>
        </w:rPr>
      </w:pPr>
    </w:p>
    <w:p w:rsidR="000F1960" w:rsidRDefault="000F1960">
      <w:pPr>
        <w:rPr>
          <w:rFonts w:ascii="Arial" w:eastAsia="Times New Roman" w:hAnsi="Arial" w:cs="Arial"/>
          <w:b/>
          <w:color w:val="000000"/>
          <w:u w:val="single"/>
        </w:rPr>
      </w:pPr>
      <w:r>
        <w:rPr>
          <w:rFonts w:ascii="Arial" w:eastAsia="Times New Roman" w:hAnsi="Arial" w:cs="Arial"/>
          <w:b/>
          <w:color w:val="000000"/>
          <w:u w:val="single"/>
        </w:rPr>
        <w:br w:type="page"/>
      </w:r>
    </w:p>
    <w:p w:rsidR="000F1960" w:rsidRPr="000F1960" w:rsidRDefault="000F1960" w:rsidP="000F1960">
      <w:pPr>
        <w:rPr>
          <w:rFonts w:ascii="Arial" w:eastAsia="Times New Roman" w:hAnsi="Arial" w:cs="Arial"/>
          <w:b/>
          <w:color w:val="000000"/>
          <w:u w:val="single"/>
        </w:rPr>
      </w:pPr>
      <w:r w:rsidRPr="000F1960">
        <w:rPr>
          <w:rFonts w:ascii="Arial" w:eastAsia="Times New Roman" w:hAnsi="Arial" w:cs="Arial"/>
          <w:b/>
          <w:color w:val="000000"/>
          <w:u w:val="single"/>
        </w:rPr>
        <w:lastRenderedPageBreak/>
        <w:t>Capital Markets Overview – Fiduciary Investment Advisors</w:t>
      </w:r>
    </w:p>
    <w:p w:rsidR="00707DBB" w:rsidRDefault="005B1944" w:rsidP="00CE5AF9">
      <w:pPr>
        <w:tabs>
          <w:tab w:val="left" w:pos="8830"/>
        </w:tabs>
        <w:rPr>
          <w:rFonts w:ascii="Arial" w:hAnsi="Arial" w:cs="Arial"/>
        </w:rPr>
      </w:pPr>
      <w:r>
        <w:rPr>
          <w:rFonts w:ascii="Arial" w:hAnsi="Arial" w:cs="Arial"/>
        </w:rPr>
        <w:t xml:space="preserve">Mr. </w:t>
      </w:r>
      <w:proofErr w:type="spellStart"/>
      <w:r>
        <w:rPr>
          <w:rFonts w:ascii="Arial" w:hAnsi="Arial" w:cs="Arial"/>
        </w:rPr>
        <w:t>Rowlins</w:t>
      </w:r>
      <w:proofErr w:type="spellEnd"/>
      <w:r>
        <w:rPr>
          <w:rFonts w:ascii="Arial" w:hAnsi="Arial" w:cs="Arial"/>
        </w:rPr>
        <w:t xml:space="preserve"> gave his report. The s</w:t>
      </w:r>
      <w:r w:rsidR="000F1960">
        <w:rPr>
          <w:rFonts w:ascii="Arial" w:hAnsi="Arial" w:cs="Arial"/>
        </w:rPr>
        <w:t xml:space="preserve">econd </w:t>
      </w:r>
      <w:r>
        <w:rPr>
          <w:rFonts w:ascii="Arial" w:hAnsi="Arial" w:cs="Arial"/>
        </w:rPr>
        <w:t>q</w:t>
      </w:r>
      <w:r w:rsidR="000F1960">
        <w:rPr>
          <w:rFonts w:ascii="Arial" w:hAnsi="Arial" w:cs="Arial"/>
        </w:rPr>
        <w:t xml:space="preserve">uarter </w:t>
      </w:r>
      <w:r>
        <w:rPr>
          <w:rFonts w:ascii="Arial" w:hAnsi="Arial" w:cs="Arial"/>
        </w:rPr>
        <w:t>r</w:t>
      </w:r>
      <w:r w:rsidR="000F1960">
        <w:rPr>
          <w:rFonts w:ascii="Arial" w:hAnsi="Arial" w:cs="Arial"/>
        </w:rPr>
        <w:t xml:space="preserve">esults </w:t>
      </w:r>
      <w:r>
        <w:rPr>
          <w:rFonts w:ascii="Arial" w:hAnsi="Arial" w:cs="Arial"/>
        </w:rPr>
        <w:t>were s</w:t>
      </w:r>
      <w:r w:rsidR="00707DBB">
        <w:rPr>
          <w:rFonts w:ascii="Arial" w:hAnsi="Arial" w:cs="Arial"/>
        </w:rPr>
        <w:t xml:space="preserve">trong </w:t>
      </w:r>
      <w:r>
        <w:rPr>
          <w:rFonts w:ascii="Arial" w:hAnsi="Arial" w:cs="Arial"/>
        </w:rPr>
        <w:t xml:space="preserve">with a 14% return thru 6/30/14. </w:t>
      </w:r>
      <w:r w:rsidR="000556D6">
        <w:rPr>
          <w:rFonts w:ascii="Arial" w:hAnsi="Arial" w:cs="Arial"/>
        </w:rPr>
        <w:t xml:space="preserve">Attributed to </w:t>
      </w:r>
      <w:r w:rsidR="00F55C50">
        <w:rPr>
          <w:rFonts w:ascii="Arial" w:hAnsi="Arial" w:cs="Arial"/>
        </w:rPr>
        <w:t xml:space="preserve">the </w:t>
      </w:r>
      <w:r w:rsidR="00707DBB">
        <w:rPr>
          <w:rFonts w:ascii="Arial" w:hAnsi="Arial" w:cs="Arial"/>
        </w:rPr>
        <w:t>Central Bank</w:t>
      </w:r>
    </w:p>
    <w:p w:rsidR="007324FD" w:rsidRDefault="007324FD" w:rsidP="007324FD">
      <w:pPr>
        <w:pStyle w:val="ListParagraph"/>
        <w:numPr>
          <w:ilvl w:val="0"/>
          <w:numId w:val="3"/>
        </w:numPr>
        <w:tabs>
          <w:tab w:val="left" w:pos="8830"/>
        </w:tabs>
        <w:rPr>
          <w:rFonts w:ascii="Arial" w:hAnsi="Arial" w:cs="Arial"/>
        </w:rPr>
      </w:pPr>
      <w:r>
        <w:rPr>
          <w:rFonts w:ascii="Arial" w:hAnsi="Arial" w:cs="Arial"/>
        </w:rPr>
        <w:t>REITS up 17% year-to-date</w:t>
      </w:r>
    </w:p>
    <w:p w:rsidR="007324FD" w:rsidRDefault="007324FD" w:rsidP="007324FD">
      <w:pPr>
        <w:pStyle w:val="ListParagraph"/>
        <w:numPr>
          <w:ilvl w:val="0"/>
          <w:numId w:val="3"/>
        </w:numPr>
        <w:tabs>
          <w:tab w:val="left" w:pos="8830"/>
        </w:tabs>
        <w:rPr>
          <w:rFonts w:ascii="Arial" w:hAnsi="Arial" w:cs="Arial"/>
        </w:rPr>
      </w:pPr>
      <w:r>
        <w:rPr>
          <w:rFonts w:ascii="Arial" w:hAnsi="Arial" w:cs="Arial"/>
        </w:rPr>
        <w:t>Small Caps were more volatile in 2</w:t>
      </w:r>
      <w:r w:rsidRPr="000574EA">
        <w:rPr>
          <w:rFonts w:ascii="Arial" w:hAnsi="Arial" w:cs="Arial"/>
          <w:vertAlign w:val="superscript"/>
        </w:rPr>
        <w:t>nd</w:t>
      </w:r>
      <w:r>
        <w:rPr>
          <w:rFonts w:ascii="Arial" w:hAnsi="Arial" w:cs="Arial"/>
        </w:rPr>
        <w:t xml:space="preserve"> Quarter with concern over valuations.</w:t>
      </w:r>
    </w:p>
    <w:p w:rsidR="007324FD" w:rsidRDefault="007324FD" w:rsidP="007324FD">
      <w:pPr>
        <w:pStyle w:val="ListParagraph"/>
        <w:numPr>
          <w:ilvl w:val="0"/>
          <w:numId w:val="3"/>
        </w:numPr>
        <w:tabs>
          <w:tab w:val="left" w:pos="8830"/>
        </w:tabs>
        <w:rPr>
          <w:rFonts w:ascii="Arial" w:hAnsi="Arial" w:cs="Arial"/>
        </w:rPr>
      </w:pPr>
      <w:r>
        <w:rPr>
          <w:rFonts w:ascii="Arial" w:hAnsi="Arial" w:cs="Arial"/>
        </w:rPr>
        <w:t>What’s driving results is low quality “beta type of rally”</w:t>
      </w:r>
    </w:p>
    <w:p w:rsidR="007324FD" w:rsidRDefault="007324FD" w:rsidP="007324FD">
      <w:pPr>
        <w:pStyle w:val="ListParagraph"/>
        <w:numPr>
          <w:ilvl w:val="0"/>
          <w:numId w:val="3"/>
        </w:numPr>
        <w:tabs>
          <w:tab w:val="left" w:pos="8830"/>
        </w:tabs>
        <w:rPr>
          <w:rFonts w:ascii="Arial" w:hAnsi="Arial" w:cs="Arial"/>
        </w:rPr>
      </w:pPr>
      <w:r>
        <w:rPr>
          <w:rFonts w:ascii="Arial" w:hAnsi="Arial" w:cs="Arial"/>
        </w:rPr>
        <w:t>Solid results for US Markets which were well valued</w:t>
      </w:r>
    </w:p>
    <w:p w:rsidR="007324FD" w:rsidRDefault="007324FD" w:rsidP="007324FD">
      <w:pPr>
        <w:pStyle w:val="ListParagraph"/>
        <w:numPr>
          <w:ilvl w:val="0"/>
          <w:numId w:val="3"/>
        </w:numPr>
        <w:tabs>
          <w:tab w:val="left" w:pos="8830"/>
        </w:tabs>
        <w:rPr>
          <w:rFonts w:ascii="Arial" w:hAnsi="Arial" w:cs="Arial"/>
        </w:rPr>
      </w:pPr>
      <w:r>
        <w:rPr>
          <w:rFonts w:ascii="Arial" w:hAnsi="Arial" w:cs="Arial"/>
        </w:rPr>
        <w:t>Geopolitical risks in 2</w:t>
      </w:r>
      <w:r w:rsidRPr="007324FD">
        <w:rPr>
          <w:rFonts w:ascii="Arial" w:hAnsi="Arial" w:cs="Arial"/>
          <w:vertAlign w:val="superscript"/>
        </w:rPr>
        <w:t>nd</w:t>
      </w:r>
      <w:r>
        <w:rPr>
          <w:rFonts w:ascii="Arial" w:hAnsi="Arial" w:cs="Arial"/>
        </w:rPr>
        <w:t xml:space="preserve"> Quarter ignored</w:t>
      </w:r>
    </w:p>
    <w:p w:rsidR="000F1960" w:rsidRPr="00190689" w:rsidRDefault="000F1960" w:rsidP="00190689">
      <w:pPr>
        <w:pStyle w:val="ListParagraph"/>
        <w:numPr>
          <w:ilvl w:val="0"/>
          <w:numId w:val="3"/>
        </w:numPr>
        <w:tabs>
          <w:tab w:val="left" w:pos="8830"/>
        </w:tabs>
        <w:rPr>
          <w:rFonts w:ascii="Arial" w:hAnsi="Arial" w:cs="Arial"/>
        </w:rPr>
      </w:pPr>
      <w:r w:rsidRPr="00190689">
        <w:rPr>
          <w:rFonts w:ascii="Arial" w:hAnsi="Arial" w:cs="Arial"/>
        </w:rPr>
        <w:t>Im</w:t>
      </w:r>
      <w:r w:rsidR="00707DBB" w:rsidRPr="00190689">
        <w:rPr>
          <w:rFonts w:ascii="Arial" w:hAnsi="Arial" w:cs="Arial"/>
        </w:rPr>
        <w:t>proved economics</w:t>
      </w:r>
      <w:r w:rsidR="00F55C50" w:rsidRPr="00190689">
        <w:rPr>
          <w:rFonts w:ascii="Arial" w:hAnsi="Arial" w:cs="Arial"/>
        </w:rPr>
        <w:t xml:space="preserve"> </w:t>
      </w:r>
    </w:p>
    <w:p w:rsidR="00F55C50" w:rsidRPr="00190689" w:rsidRDefault="00F55C50" w:rsidP="00190689">
      <w:pPr>
        <w:pStyle w:val="ListParagraph"/>
        <w:numPr>
          <w:ilvl w:val="0"/>
          <w:numId w:val="3"/>
        </w:numPr>
        <w:tabs>
          <w:tab w:val="left" w:pos="8830"/>
        </w:tabs>
        <w:rPr>
          <w:rFonts w:ascii="Arial" w:hAnsi="Arial" w:cs="Arial"/>
        </w:rPr>
      </w:pPr>
      <w:r w:rsidRPr="00190689">
        <w:rPr>
          <w:rFonts w:ascii="Arial" w:hAnsi="Arial" w:cs="Arial"/>
        </w:rPr>
        <w:t>Outsized returns in the International Markets with support from the European Central Banks</w:t>
      </w:r>
    </w:p>
    <w:p w:rsidR="00F55C50" w:rsidRPr="00190689" w:rsidRDefault="00F55C50" w:rsidP="00190689">
      <w:pPr>
        <w:pStyle w:val="ListParagraph"/>
        <w:numPr>
          <w:ilvl w:val="0"/>
          <w:numId w:val="3"/>
        </w:numPr>
        <w:tabs>
          <w:tab w:val="left" w:pos="8830"/>
        </w:tabs>
        <w:rPr>
          <w:rFonts w:ascii="Arial" w:hAnsi="Arial" w:cs="Arial"/>
        </w:rPr>
      </w:pPr>
      <w:r w:rsidRPr="00190689">
        <w:rPr>
          <w:rFonts w:ascii="Arial" w:hAnsi="Arial" w:cs="Arial"/>
        </w:rPr>
        <w:t>Emerging Markets outpaced Developed Markets helped by China, India and Turkey</w:t>
      </w:r>
    </w:p>
    <w:p w:rsidR="00F55C50" w:rsidRDefault="00F55C50" w:rsidP="00190689">
      <w:pPr>
        <w:pStyle w:val="ListParagraph"/>
        <w:numPr>
          <w:ilvl w:val="0"/>
          <w:numId w:val="3"/>
        </w:numPr>
        <w:tabs>
          <w:tab w:val="left" w:pos="8830"/>
        </w:tabs>
        <w:rPr>
          <w:rFonts w:ascii="Arial" w:hAnsi="Arial" w:cs="Arial"/>
        </w:rPr>
      </w:pPr>
      <w:r w:rsidRPr="00190689">
        <w:rPr>
          <w:rFonts w:ascii="Arial" w:hAnsi="Arial" w:cs="Arial"/>
        </w:rPr>
        <w:t>As a result Managers in that class; Templeton and Aberdeen picked up the pace this year</w:t>
      </w:r>
    </w:p>
    <w:p w:rsidR="00F55C50" w:rsidRPr="00B17A26" w:rsidRDefault="00F55C50" w:rsidP="00B17A26">
      <w:pPr>
        <w:pStyle w:val="ListParagraph"/>
        <w:numPr>
          <w:ilvl w:val="0"/>
          <w:numId w:val="5"/>
        </w:numPr>
        <w:tabs>
          <w:tab w:val="left" w:pos="8830"/>
        </w:tabs>
        <w:ind w:left="720"/>
        <w:rPr>
          <w:rFonts w:ascii="Arial" w:hAnsi="Arial" w:cs="Arial"/>
        </w:rPr>
      </w:pPr>
      <w:r w:rsidRPr="00B17A26">
        <w:rPr>
          <w:rFonts w:ascii="Arial" w:hAnsi="Arial" w:cs="Arial"/>
        </w:rPr>
        <w:t xml:space="preserve">Rates have trended lower which has moved the bond prices higher. </w:t>
      </w:r>
    </w:p>
    <w:p w:rsidR="00B17A26" w:rsidRDefault="00B17A26" w:rsidP="00B17A26">
      <w:pPr>
        <w:pStyle w:val="ListParagraph"/>
        <w:numPr>
          <w:ilvl w:val="0"/>
          <w:numId w:val="3"/>
        </w:numPr>
        <w:tabs>
          <w:tab w:val="left" w:pos="8830"/>
        </w:tabs>
        <w:rPr>
          <w:rFonts w:ascii="Arial" w:hAnsi="Arial" w:cs="Arial"/>
        </w:rPr>
      </w:pPr>
      <w:r w:rsidRPr="00B17A26">
        <w:rPr>
          <w:rFonts w:ascii="Arial" w:hAnsi="Arial" w:cs="Arial"/>
        </w:rPr>
        <w:t>Bond market is rich</w:t>
      </w:r>
    </w:p>
    <w:p w:rsidR="00B17A26" w:rsidRDefault="00B17A26" w:rsidP="00B17A26">
      <w:pPr>
        <w:pStyle w:val="ListParagraph"/>
        <w:numPr>
          <w:ilvl w:val="0"/>
          <w:numId w:val="3"/>
        </w:numPr>
        <w:tabs>
          <w:tab w:val="left" w:pos="8830"/>
        </w:tabs>
        <w:rPr>
          <w:rFonts w:ascii="Arial" w:hAnsi="Arial" w:cs="Arial"/>
        </w:rPr>
      </w:pPr>
      <w:r>
        <w:rPr>
          <w:rFonts w:ascii="Arial" w:hAnsi="Arial" w:cs="Arial"/>
        </w:rPr>
        <w:t>Cornerstone delivered attractive results</w:t>
      </w:r>
    </w:p>
    <w:p w:rsidR="00B17A26" w:rsidRDefault="00B17A26" w:rsidP="00B17A26">
      <w:pPr>
        <w:pStyle w:val="ListParagraph"/>
        <w:numPr>
          <w:ilvl w:val="0"/>
          <w:numId w:val="3"/>
        </w:numPr>
        <w:tabs>
          <w:tab w:val="left" w:pos="8830"/>
        </w:tabs>
        <w:rPr>
          <w:rFonts w:ascii="Arial" w:hAnsi="Arial" w:cs="Arial"/>
        </w:rPr>
      </w:pPr>
      <w:r>
        <w:rPr>
          <w:rFonts w:ascii="Arial" w:hAnsi="Arial" w:cs="Arial"/>
        </w:rPr>
        <w:t>Commodities moved higher in some areas; energy, precious metals.</w:t>
      </w:r>
    </w:p>
    <w:p w:rsidR="00E678C2" w:rsidRDefault="00E678C2" w:rsidP="00B17A26">
      <w:pPr>
        <w:pStyle w:val="ListParagraph"/>
        <w:numPr>
          <w:ilvl w:val="0"/>
          <w:numId w:val="3"/>
        </w:numPr>
        <w:tabs>
          <w:tab w:val="left" w:pos="8830"/>
        </w:tabs>
        <w:rPr>
          <w:rFonts w:ascii="Arial" w:hAnsi="Arial" w:cs="Arial"/>
        </w:rPr>
      </w:pPr>
      <w:r>
        <w:rPr>
          <w:rFonts w:ascii="Arial" w:hAnsi="Arial" w:cs="Arial"/>
        </w:rPr>
        <w:t xml:space="preserve">Portfolio ending market value for the Quarter was $97,002,342 </w:t>
      </w:r>
    </w:p>
    <w:p w:rsidR="00E678C2" w:rsidRDefault="00E678C2" w:rsidP="00E678C2">
      <w:pPr>
        <w:tabs>
          <w:tab w:val="left" w:pos="8830"/>
        </w:tabs>
        <w:rPr>
          <w:rFonts w:ascii="Arial" w:hAnsi="Arial" w:cs="Arial"/>
          <w:b/>
          <w:u w:val="single"/>
        </w:rPr>
      </w:pPr>
      <w:r w:rsidRPr="00E678C2">
        <w:rPr>
          <w:rFonts w:ascii="Arial" w:hAnsi="Arial" w:cs="Arial"/>
          <w:b/>
          <w:u w:val="single"/>
        </w:rPr>
        <w:t>Asset Allocation and Investment Performance</w:t>
      </w:r>
    </w:p>
    <w:p w:rsidR="00CD12BF" w:rsidRDefault="00CD12BF" w:rsidP="00E678C2">
      <w:pPr>
        <w:tabs>
          <w:tab w:val="left" w:pos="8830"/>
        </w:tabs>
        <w:rPr>
          <w:rFonts w:ascii="Arial" w:hAnsi="Arial" w:cs="Arial"/>
        </w:rPr>
      </w:pPr>
      <w:r w:rsidRPr="00CD12BF">
        <w:rPr>
          <w:rFonts w:ascii="Arial" w:hAnsi="Arial" w:cs="Arial"/>
        </w:rPr>
        <w:t xml:space="preserve">Mr. O’Brien </w:t>
      </w:r>
      <w:r>
        <w:rPr>
          <w:rFonts w:ascii="Arial" w:hAnsi="Arial" w:cs="Arial"/>
        </w:rPr>
        <w:t>reviewed the Asset allocation and said that there were no major imbalances in the portfolio.</w:t>
      </w:r>
      <w:r>
        <w:rPr>
          <w:rFonts w:ascii="Arial" w:hAnsi="Arial" w:cs="Arial"/>
        </w:rPr>
        <w:br/>
        <w:t>He went over the Pension Performance Summary Plan found on page 13 of the handout (on file).</w:t>
      </w:r>
    </w:p>
    <w:p w:rsidR="00894231" w:rsidRDefault="00CD12BF" w:rsidP="00E678C2">
      <w:pPr>
        <w:tabs>
          <w:tab w:val="left" w:pos="8830"/>
        </w:tabs>
        <w:rPr>
          <w:rFonts w:ascii="Arial" w:hAnsi="Arial" w:cs="Arial"/>
        </w:rPr>
      </w:pPr>
      <w:r>
        <w:rPr>
          <w:rFonts w:ascii="Arial" w:hAnsi="Arial" w:cs="Arial"/>
        </w:rPr>
        <w:t>The Pension Plan is up 3.4% for the Qtr. and 3.9% YTD. Since inception it is up 10.7%.</w:t>
      </w:r>
      <w:r>
        <w:rPr>
          <w:rFonts w:ascii="Arial" w:hAnsi="Arial" w:cs="Arial"/>
        </w:rPr>
        <w:br/>
        <w:t>There was a rally in fixed income and he discussed the Managers Performance Overview on pages 16-1</w:t>
      </w:r>
      <w:r w:rsidR="00894231">
        <w:rPr>
          <w:rFonts w:ascii="Arial" w:hAnsi="Arial" w:cs="Arial"/>
        </w:rPr>
        <w:t>8</w:t>
      </w:r>
      <w:r>
        <w:rPr>
          <w:rFonts w:ascii="Arial" w:hAnsi="Arial" w:cs="Arial"/>
        </w:rPr>
        <w:t xml:space="preserve">. </w:t>
      </w:r>
      <w:r w:rsidR="00F67318">
        <w:rPr>
          <w:rFonts w:ascii="Arial" w:hAnsi="Arial" w:cs="Arial"/>
        </w:rPr>
        <w:t xml:space="preserve">While Easton Vance showed </w:t>
      </w:r>
      <w:r w:rsidR="00894231">
        <w:rPr>
          <w:rFonts w:ascii="Arial" w:hAnsi="Arial" w:cs="Arial"/>
        </w:rPr>
        <w:t xml:space="preserve">only </w:t>
      </w:r>
      <w:r w:rsidR="00F67318">
        <w:rPr>
          <w:rFonts w:ascii="Arial" w:hAnsi="Arial" w:cs="Arial"/>
        </w:rPr>
        <w:t>modest gains</w:t>
      </w:r>
      <w:r w:rsidR="00894231">
        <w:rPr>
          <w:rFonts w:ascii="Arial" w:hAnsi="Arial" w:cs="Arial"/>
        </w:rPr>
        <w:t>,</w:t>
      </w:r>
      <w:r w:rsidR="00F67318">
        <w:rPr>
          <w:rFonts w:ascii="Arial" w:hAnsi="Arial" w:cs="Arial"/>
        </w:rPr>
        <w:t xml:space="preserve"> the team feels that their conservative approach is appropriate to avoid financial risks. </w:t>
      </w:r>
      <w:proofErr w:type="spellStart"/>
      <w:r>
        <w:rPr>
          <w:rFonts w:ascii="Arial" w:hAnsi="Arial" w:cs="Arial"/>
        </w:rPr>
        <w:t>Pimco</w:t>
      </w:r>
      <w:proofErr w:type="spellEnd"/>
      <w:r>
        <w:rPr>
          <w:rFonts w:ascii="Arial" w:hAnsi="Arial" w:cs="Arial"/>
        </w:rPr>
        <w:t xml:space="preserve"> Total Return is still on watch but it was up 2.4% for the Qtr. and may come off watch the next Qtr. </w:t>
      </w:r>
      <w:r w:rsidR="004E4A6B">
        <w:rPr>
          <w:rFonts w:ascii="Arial" w:hAnsi="Arial" w:cs="Arial"/>
        </w:rPr>
        <w:t xml:space="preserve">(See the handout for the items covered). </w:t>
      </w:r>
    </w:p>
    <w:p w:rsidR="004E4A6B" w:rsidRPr="007C7305" w:rsidRDefault="007C7305" w:rsidP="00E678C2">
      <w:pPr>
        <w:tabs>
          <w:tab w:val="left" w:pos="8830"/>
        </w:tabs>
        <w:rPr>
          <w:rFonts w:ascii="Arial" w:hAnsi="Arial" w:cs="Arial"/>
          <w:b/>
          <w:u w:val="single"/>
        </w:rPr>
      </w:pPr>
      <w:r w:rsidRPr="007C7305">
        <w:rPr>
          <w:rFonts w:ascii="Arial" w:hAnsi="Arial" w:cs="Arial"/>
          <w:b/>
          <w:u w:val="single"/>
        </w:rPr>
        <w:t>OPEB</w:t>
      </w:r>
    </w:p>
    <w:p w:rsidR="00894231" w:rsidRDefault="00CD12BF" w:rsidP="00E678C2">
      <w:pPr>
        <w:tabs>
          <w:tab w:val="left" w:pos="8830"/>
        </w:tabs>
        <w:rPr>
          <w:rFonts w:ascii="Arial" w:hAnsi="Arial" w:cs="Arial"/>
        </w:rPr>
      </w:pPr>
      <w:r>
        <w:rPr>
          <w:rFonts w:ascii="Arial" w:hAnsi="Arial" w:cs="Arial"/>
        </w:rPr>
        <w:t xml:space="preserve"> </w:t>
      </w:r>
      <w:r w:rsidR="007C7305">
        <w:rPr>
          <w:rFonts w:ascii="Arial" w:hAnsi="Arial" w:cs="Arial"/>
        </w:rPr>
        <w:t>Th</w:t>
      </w:r>
      <w:r w:rsidR="00F30283">
        <w:rPr>
          <w:rFonts w:ascii="Arial" w:hAnsi="Arial" w:cs="Arial"/>
        </w:rPr>
        <w:t xml:space="preserve">e market value as of June 30, 2014 for the OPEB portfolio was $4,400,692. Mr. </w:t>
      </w:r>
      <w:proofErr w:type="spellStart"/>
      <w:r w:rsidR="00F30283">
        <w:rPr>
          <w:rFonts w:ascii="Arial" w:hAnsi="Arial" w:cs="Arial"/>
        </w:rPr>
        <w:t>Rowlins</w:t>
      </w:r>
      <w:proofErr w:type="spellEnd"/>
      <w:r w:rsidR="00F30283">
        <w:rPr>
          <w:rFonts w:ascii="Arial" w:hAnsi="Arial" w:cs="Arial"/>
        </w:rPr>
        <w:t xml:space="preserve"> said that they don’t have recommendations for changes at this time. Ms. Dennies said that there hasn’t been a contribution to the OPEB trust in a while. A discussion ensued as to how much to contribute. </w:t>
      </w:r>
      <w:r w:rsidR="001D2AF4">
        <w:rPr>
          <w:rFonts w:ascii="Arial" w:hAnsi="Arial" w:cs="Arial"/>
        </w:rPr>
        <w:t xml:space="preserve">Mr. Serenbetz made a motion </w:t>
      </w:r>
      <w:r w:rsidR="005D1D69">
        <w:rPr>
          <w:rFonts w:ascii="Arial" w:hAnsi="Arial" w:cs="Arial"/>
        </w:rPr>
        <w:t>to keep a total target</w:t>
      </w:r>
      <w:r w:rsidR="001D2AF4">
        <w:rPr>
          <w:rFonts w:ascii="Arial" w:hAnsi="Arial" w:cs="Arial"/>
        </w:rPr>
        <w:t xml:space="preserve"> </w:t>
      </w:r>
      <w:r w:rsidR="005D1D69">
        <w:rPr>
          <w:rFonts w:ascii="Arial" w:hAnsi="Arial" w:cs="Arial"/>
        </w:rPr>
        <w:t xml:space="preserve">cash balance at </w:t>
      </w:r>
      <w:r w:rsidR="001D2AF4">
        <w:rPr>
          <w:rFonts w:ascii="Arial" w:hAnsi="Arial" w:cs="Arial"/>
        </w:rPr>
        <w:t xml:space="preserve">5% </w:t>
      </w:r>
      <w:r w:rsidR="005D1D69">
        <w:rPr>
          <w:rFonts w:ascii="Arial" w:hAnsi="Arial" w:cs="Arial"/>
        </w:rPr>
        <w:t>of the fund assets</w:t>
      </w:r>
      <w:r w:rsidR="001D2AF4">
        <w:rPr>
          <w:rFonts w:ascii="Arial" w:hAnsi="Arial" w:cs="Arial"/>
        </w:rPr>
        <w:t xml:space="preserve"> and fully invest the ARC. The motion was seconded and carried unanimously. </w:t>
      </w:r>
    </w:p>
    <w:p w:rsidR="005D1D69" w:rsidRDefault="005D1D69" w:rsidP="00E678C2">
      <w:pPr>
        <w:tabs>
          <w:tab w:val="left" w:pos="8830"/>
        </w:tabs>
        <w:rPr>
          <w:rFonts w:ascii="Arial" w:hAnsi="Arial" w:cs="Arial"/>
        </w:rPr>
      </w:pPr>
    </w:p>
    <w:p w:rsidR="005D1D69" w:rsidRDefault="005D1D69" w:rsidP="00E678C2">
      <w:pPr>
        <w:tabs>
          <w:tab w:val="left" w:pos="8830"/>
        </w:tabs>
        <w:rPr>
          <w:rFonts w:ascii="Arial" w:hAnsi="Arial" w:cs="Arial"/>
        </w:rPr>
      </w:pPr>
      <w:r>
        <w:rPr>
          <w:rFonts w:ascii="Arial" w:hAnsi="Arial" w:cs="Arial"/>
        </w:rPr>
        <w:t xml:space="preserve">There being no further business, the meeting adjourned at </w:t>
      </w:r>
      <w:r w:rsidR="00531ADB">
        <w:rPr>
          <w:rFonts w:ascii="Arial" w:hAnsi="Arial" w:cs="Arial"/>
        </w:rPr>
        <w:t>8:47 PM.</w:t>
      </w:r>
    </w:p>
    <w:p w:rsidR="001D2AF4" w:rsidRDefault="001D2AF4" w:rsidP="00E678C2">
      <w:pPr>
        <w:tabs>
          <w:tab w:val="left" w:pos="8830"/>
        </w:tabs>
        <w:rPr>
          <w:rFonts w:ascii="Arial" w:hAnsi="Arial" w:cs="Arial"/>
        </w:rPr>
      </w:pPr>
    </w:p>
    <w:p w:rsidR="00B17A26" w:rsidRPr="00CD12BF" w:rsidRDefault="00B17A26" w:rsidP="00E678C2">
      <w:pPr>
        <w:tabs>
          <w:tab w:val="left" w:pos="8830"/>
        </w:tabs>
        <w:rPr>
          <w:rFonts w:ascii="Arial" w:hAnsi="Arial" w:cs="Arial"/>
        </w:rPr>
      </w:pPr>
      <w:r w:rsidRPr="00CD12BF">
        <w:rPr>
          <w:rFonts w:ascii="Arial" w:hAnsi="Arial" w:cs="Arial"/>
        </w:rPr>
        <w:br/>
      </w:r>
    </w:p>
    <w:p w:rsidR="00F55C50" w:rsidRDefault="00F55C50" w:rsidP="00CE5AF9">
      <w:pPr>
        <w:tabs>
          <w:tab w:val="left" w:pos="8830"/>
        </w:tabs>
        <w:rPr>
          <w:rFonts w:ascii="Arial" w:hAnsi="Arial" w:cs="Arial"/>
        </w:rPr>
      </w:pPr>
    </w:p>
    <w:sectPr w:rsidR="00F55C50" w:rsidSect="00944A00">
      <w:pgSz w:w="12240" w:h="15840"/>
      <w:pgMar w:top="1440"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69" w:rsidRDefault="005D1D69" w:rsidP="005D1D69">
      <w:pPr>
        <w:spacing w:after="0" w:line="240" w:lineRule="auto"/>
      </w:pPr>
      <w:r>
        <w:separator/>
      </w:r>
    </w:p>
  </w:endnote>
  <w:endnote w:type="continuationSeparator" w:id="0">
    <w:p w:rsidR="005D1D69" w:rsidRDefault="005D1D69" w:rsidP="005D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69" w:rsidRDefault="005D1D69" w:rsidP="005D1D69">
      <w:pPr>
        <w:spacing w:after="0" w:line="240" w:lineRule="auto"/>
      </w:pPr>
      <w:r>
        <w:separator/>
      </w:r>
    </w:p>
  </w:footnote>
  <w:footnote w:type="continuationSeparator" w:id="0">
    <w:p w:rsidR="005D1D69" w:rsidRDefault="005D1D69" w:rsidP="005D1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6285"/>
    <w:multiLevelType w:val="hybridMultilevel"/>
    <w:tmpl w:val="9C6A1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74237"/>
    <w:multiLevelType w:val="hybridMultilevel"/>
    <w:tmpl w:val="0000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F5282"/>
    <w:multiLevelType w:val="hybridMultilevel"/>
    <w:tmpl w:val="CB32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72FA5"/>
    <w:multiLevelType w:val="hybridMultilevel"/>
    <w:tmpl w:val="FC1A1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A53003"/>
    <w:multiLevelType w:val="hybridMultilevel"/>
    <w:tmpl w:val="385A3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7970"/>
    <w:rsid w:val="000556D6"/>
    <w:rsid w:val="000574EA"/>
    <w:rsid w:val="000713AF"/>
    <w:rsid w:val="00071C8B"/>
    <w:rsid w:val="000F1960"/>
    <w:rsid w:val="00106808"/>
    <w:rsid w:val="00190689"/>
    <w:rsid w:val="00190A17"/>
    <w:rsid w:val="001A1EF3"/>
    <w:rsid w:val="001D2AF4"/>
    <w:rsid w:val="0021655F"/>
    <w:rsid w:val="0025194E"/>
    <w:rsid w:val="0026030E"/>
    <w:rsid w:val="00277970"/>
    <w:rsid w:val="002D0346"/>
    <w:rsid w:val="00375756"/>
    <w:rsid w:val="003954B3"/>
    <w:rsid w:val="003D78AB"/>
    <w:rsid w:val="004C6E33"/>
    <w:rsid w:val="004E4A6B"/>
    <w:rsid w:val="00527651"/>
    <w:rsid w:val="00530517"/>
    <w:rsid w:val="00531ADB"/>
    <w:rsid w:val="005347D3"/>
    <w:rsid w:val="00551C7A"/>
    <w:rsid w:val="00592371"/>
    <w:rsid w:val="005A3681"/>
    <w:rsid w:val="005A3E64"/>
    <w:rsid w:val="005B1944"/>
    <w:rsid w:val="005D1D69"/>
    <w:rsid w:val="00646597"/>
    <w:rsid w:val="00666044"/>
    <w:rsid w:val="00691D78"/>
    <w:rsid w:val="006A2BE5"/>
    <w:rsid w:val="006A5F8A"/>
    <w:rsid w:val="006B55C5"/>
    <w:rsid w:val="006E2DE8"/>
    <w:rsid w:val="00705E11"/>
    <w:rsid w:val="00707DBB"/>
    <w:rsid w:val="00726A33"/>
    <w:rsid w:val="007324FD"/>
    <w:rsid w:val="007A7415"/>
    <w:rsid w:val="007C7305"/>
    <w:rsid w:val="007D167D"/>
    <w:rsid w:val="0082774A"/>
    <w:rsid w:val="00837AE8"/>
    <w:rsid w:val="00837DCF"/>
    <w:rsid w:val="00876EAB"/>
    <w:rsid w:val="00894231"/>
    <w:rsid w:val="008B624B"/>
    <w:rsid w:val="008B6A88"/>
    <w:rsid w:val="008C10F8"/>
    <w:rsid w:val="008D2546"/>
    <w:rsid w:val="008D7D6E"/>
    <w:rsid w:val="008E42B0"/>
    <w:rsid w:val="00915560"/>
    <w:rsid w:val="00927AEF"/>
    <w:rsid w:val="00931A3A"/>
    <w:rsid w:val="00944A00"/>
    <w:rsid w:val="00995BDF"/>
    <w:rsid w:val="009E7B47"/>
    <w:rsid w:val="009F5334"/>
    <w:rsid w:val="00A26E18"/>
    <w:rsid w:val="00A47E0C"/>
    <w:rsid w:val="00A72A89"/>
    <w:rsid w:val="00A832BF"/>
    <w:rsid w:val="00AA0B8B"/>
    <w:rsid w:val="00AB3EC0"/>
    <w:rsid w:val="00AC4D02"/>
    <w:rsid w:val="00AD6E51"/>
    <w:rsid w:val="00B17A26"/>
    <w:rsid w:val="00B44DA0"/>
    <w:rsid w:val="00B73E0E"/>
    <w:rsid w:val="00B852CA"/>
    <w:rsid w:val="00B94F0A"/>
    <w:rsid w:val="00BA266E"/>
    <w:rsid w:val="00BB64C3"/>
    <w:rsid w:val="00BD2F09"/>
    <w:rsid w:val="00BE1519"/>
    <w:rsid w:val="00CC35C8"/>
    <w:rsid w:val="00CD12BF"/>
    <w:rsid w:val="00CE5AF9"/>
    <w:rsid w:val="00D066D6"/>
    <w:rsid w:val="00D40AA5"/>
    <w:rsid w:val="00DA1868"/>
    <w:rsid w:val="00DC51D9"/>
    <w:rsid w:val="00DD24B0"/>
    <w:rsid w:val="00E25E9F"/>
    <w:rsid w:val="00E678C2"/>
    <w:rsid w:val="00E748D7"/>
    <w:rsid w:val="00E77810"/>
    <w:rsid w:val="00E90DA0"/>
    <w:rsid w:val="00EA2EFD"/>
    <w:rsid w:val="00F30283"/>
    <w:rsid w:val="00F31CBC"/>
    <w:rsid w:val="00F55C50"/>
    <w:rsid w:val="00F67318"/>
    <w:rsid w:val="00F677B1"/>
    <w:rsid w:val="00F82954"/>
    <w:rsid w:val="00F82FFF"/>
    <w:rsid w:val="00FA77A8"/>
    <w:rsid w:val="00FD3EFA"/>
    <w:rsid w:val="00FF4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70"/>
    <w:rPr>
      <w:rFonts w:ascii="Tahoma" w:hAnsi="Tahoma" w:cs="Tahoma"/>
      <w:sz w:val="16"/>
      <w:szCs w:val="16"/>
    </w:rPr>
  </w:style>
  <w:style w:type="paragraph" w:styleId="ListParagraph">
    <w:name w:val="List Paragraph"/>
    <w:basedOn w:val="Normal"/>
    <w:uiPriority w:val="34"/>
    <w:qFormat/>
    <w:rsid w:val="00944A00"/>
    <w:pPr>
      <w:ind w:left="720"/>
      <w:contextualSpacing/>
    </w:pPr>
  </w:style>
  <w:style w:type="paragraph" w:styleId="Header">
    <w:name w:val="header"/>
    <w:basedOn w:val="Normal"/>
    <w:link w:val="HeaderChar"/>
    <w:uiPriority w:val="99"/>
    <w:semiHidden/>
    <w:unhideWhenUsed/>
    <w:rsid w:val="005D1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1D69"/>
  </w:style>
  <w:style w:type="paragraph" w:styleId="Footer">
    <w:name w:val="footer"/>
    <w:basedOn w:val="Normal"/>
    <w:link w:val="FooterChar"/>
    <w:uiPriority w:val="99"/>
    <w:semiHidden/>
    <w:unhideWhenUsed/>
    <w:rsid w:val="005D1D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D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Mcorrado</dc:creator>
  <cp:lastModifiedBy>Mcorrado</cp:lastModifiedBy>
  <cp:revision>44</cp:revision>
  <cp:lastPrinted>2014-09-12T15:04:00Z</cp:lastPrinted>
  <dcterms:created xsi:type="dcterms:W3CDTF">2014-08-19T14:21:00Z</dcterms:created>
  <dcterms:modified xsi:type="dcterms:W3CDTF">2014-09-12T15:50:00Z</dcterms:modified>
</cp:coreProperties>
</file>